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5781E" w14:textId="77777777" w:rsidR="000439AC" w:rsidRDefault="000439AC" w:rsidP="000439AC">
      <w:pPr>
        <w:pStyle w:val="Ttul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EDITAL DE LEILÃO E INTIMAÇÃO</w:t>
      </w:r>
    </w:p>
    <w:p w14:paraId="69DDE68C" w14:textId="77777777" w:rsidR="000439AC" w:rsidRDefault="000439AC" w:rsidP="000439AC">
      <w:pPr>
        <w:spacing w:before="0" w:line="240" w:lineRule="auto"/>
        <w:ind w:firstLine="279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0E265ED" w14:textId="77777777" w:rsidR="000439AC" w:rsidRPr="00F94D74" w:rsidRDefault="000439AC" w:rsidP="000439AC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  <w:bookmarkStart w:id="0" w:name="_heading=h.tb59i3nomcde" w:colFirst="0" w:colLast="0"/>
      <w:bookmarkEnd w:id="0"/>
      <w:r w:rsidRPr="00F94D74">
        <w:rPr>
          <w:rFonts w:ascii="Arial" w:eastAsia="Arial" w:hAnsi="Arial" w:cs="Arial"/>
          <w:b/>
          <w:bCs/>
          <w:sz w:val="20"/>
          <w:szCs w:val="20"/>
        </w:rPr>
        <w:t xml:space="preserve">O JUÍZO DO JUIZADO ESPECIAL CÍVEL DA UNIVERSIDADE FEDERAL DO ESTADO DE SANTA CATARINA, NA FORMA DA LEI ETC. </w:t>
      </w:r>
      <w:r w:rsidRPr="00F94D74">
        <w:rPr>
          <w:rFonts w:ascii="Arial" w:eastAsia="Arial" w:hAnsi="Arial" w:cs="Arial"/>
          <w:sz w:val="20"/>
          <w:szCs w:val="20"/>
        </w:rPr>
        <w:t>FAZ SABER, a todos quantos o presente Edital virem ou dele tiverem conhecimento, que o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 xml:space="preserve"> Juizado Especial Cível da Universidade Federal/SC</w:t>
      </w:r>
      <w:r w:rsidRPr="00F94D74">
        <w:rPr>
          <w:rFonts w:ascii="Arial" w:eastAsia="Arial" w:hAnsi="Arial" w:cs="Arial"/>
          <w:sz w:val="20"/>
          <w:szCs w:val="20"/>
        </w:rPr>
        <w:t xml:space="preserve">, levará à venda em 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Leilão Público Eletrônico (on-line)</w:t>
      </w:r>
      <w:r w:rsidRPr="00F94D74">
        <w:rPr>
          <w:rFonts w:ascii="Arial" w:eastAsia="Arial" w:hAnsi="Arial" w:cs="Arial"/>
          <w:sz w:val="20"/>
          <w:szCs w:val="20"/>
        </w:rPr>
        <w:t>, durante o período adiante descrito, os bens penhorados nos processos abaixo relacionados.</w:t>
      </w:r>
    </w:p>
    <w:p w14:paraId="086CD924" w14:textId="77777777" w:rsidR="000439AC" w:rsidRPr="00F94D74" w:rsidRDefault="000439AC" w:rsidP="000439AC">
      <w:pPr>
        <w:spacing w:before="0" w:line="240" w:lineRule="auto"/>
        <w:ind w:firstLine="851"/>
        <w:jc w:val="both"/>
        <w:rPr>
          <w:rFonts w:ascii="Arial" w:eastAsia="Arial" w:hAnsi="Arial" w:cs="Arial"/>
          <w:sz w:val="20"/>
          <w:szCs w:val="20"/>
        </w:rPr>
      </w:pPr>
    </w:p>
    <w:p w14:paraId="52D2FBB7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bookmarkStart w:id="1" w:name="_heading=h.btehd59dxk03" w:colFirst="0" w:colLast="0"/>
      <w:bookmarkEnd w:id="1"/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Início do Leilão: </w:t>
      </w: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>19/10/2026, às 14:00 horas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, com encerramento no </w:t>
      </w: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>dia 26/10/2026, às 14:00 horas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. Os bens poderão ser arrematados por quem mais ofertar, </w:t>
      </w: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desde que igual ou superior 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a</w:t>
      </w: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50% da avaliação.</w:t>
      </w:r>
    </w:p>
    <w:p w14:paraId="030F8552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57A50E4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sz w:val="20"/>
          <w:szCs w:val="20"/>
        </w:rPr>
        <w:t>Local do Leilão:</w:t>
      </w:r>
      <w:r w:rsidRPr="00F94D74">
        <w:rPr>
          <w:rFonts w:ascii="Arial" w:eastAsia="Arial" w:hAnsi="Arial" w:cs="Arial"/>
          <w:sz w:val="20"/>
          <w:szCs w:val="20"/>
        </w:rPr>
        <w:t xml:space="preserve"> no endereço eletrônico (site) </w:t>
      </w: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94D74">
        <w:rPr>
          <w:rFonts w:ascii="Arial" w:eastAsia="Arial" w:hAnsi="Arial" w:cs="Arial"/>
          <w:sz w:val="20"/>
          <w:szCs w:val="20"/>
        </w:rPr>
        <w:t xml:space="preserve">. Para eventuais instruções adicionais, os interessados em participar do leilão poderão efetuar contato pelos meios disponibilizados, ou comparecer no escritório do leiloeiro, situado na Avenida Luiz </w:t>
      </w:r>
      <w:proofErr w:type="spellStart"/>
      <w:r w:rsidRPr="00F94D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94D74">
        <w:rPr>
          <w:rFonts w:ascii="Arial" w:eastAsia="Arial" w:hAnsi="Arial" w:cs="Arial"/>
          <w:sz w:val="20"/>
          <w:szCs w:val="20"/>
        </w:rPr>
        <w:t>, n.º 2.300, Santo Antônio, em Criciúma/SC.</w:t>
      </w:r>
    </w:p>
    <w:p w14:paraId="407DF3DA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B00C56F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  <w:u w:val="single"/>
        </w:rPr>
        <w:t>Leiloeiro Público Oficial/Nomeado</w:t>
      </w:r>
      <w:r w:rsidRPr="00F94D74">
        <w:rPr>
          <w:rFonts w:ascii="Arial" w:eastAsia="Arial" w:hAnsi="Arial" w:cs="Arial"/>
          <w:sz w:val="20"/>
          <w:szCs w:val="20"/>
        </w:rPr>
        <w:t xml:space="preserve">: 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LÚCIO UBIALLI</w:t>
      </w:r>
      <w:r w:rsidRPr="00F94D74">
        <w:rPr>
          <w:rFonts w:ascii="Arial" w:eastAsia="Arial" w:hAnsi="Arial" w:cs="Arial"/>
          <w:sz w:val="20"/>
          <w:szCs w:val="20"/>
        </w:rPr>
        <w:t xml:space="preserve"> - matrícula AARC/030 – </w:t>
      </w:r>
      <w:hyperlink r:id="rId4">
        <w:r w:rsidRPr="00F94D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94D74">
        <w:rPr>
          <w:rFonts w:ascii="Arial" w:eastAsia="Arial" w:hAnsi="Arial" w:cs="Arial"/>
          <w:sz w:val="20"/>
          <w:szCs w:val="20"/>
        </w:rPr>
        <w:t xml:space="preserve"> </w:t>
      </w:r>
    </w:p>
    <w:p w14:paraId="27A2F650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31D01D60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Do pagamento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:</w:t>
      </w:r>
      <w:r w:rsidRPr="00F94D74">
        <w:rPr>
          <w:rFonts w:ascii="Arial" w:eastAsia="Arial" w:hAnsi="Arial" w:cs="Arial"/>
          <w:sz w:val="20"/>
          <w:szCs w:val="20"/>
        </w:rPr>
        <w:t xml:space="preserve"> O arrematante fica ciente de que a venda no leilão eletrônico, via plataforma, será realizada à vista, mediante expedição de guia judicial para pagamento em até 24 horas, nos termos do art. 892, do CPC.</w:t>
      </w:r>
    </w:p>
    <w:p w14:paraId="1803BC33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57BF93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</w:rPr>
        <w:t xml:space="preserve">Na eventualidade de propostas para pagamento parcelado, deverão ser observados os requisitos estabelecidos em lei, nos termos do art. 895, do Código de Processo Civil. As propostas de que tratam o art. 895, do CPC, deverão ser encaminhadas exclusivamente por escrito, nos termos da lei, antes do encerramento do certame, sendo que sua propositura não suspende a realização do leilão. Em virtude da preferência contida no II, § 7º, do mesmo dispositivo, não serão aceitas propostas para pagamento parcelado quando verificada a existência de lances registrados no leilão eletrônico. As propostas serão confeccionadas pelo leiloeiro, e deverão ser encaminhadas em tempo hábil para protocolo. </w:t>
      </w:r>
    </w:p>
    <w:p w14:paraId="5B5D5C71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</w:p>
    <w:p w14:paraId="27B0466D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Da comissão do leiloeiro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:</w:t>
      </w:r>
      <w:r w:rsidRPr="00F94D74">
        <w:rPr>
          <w:rFonts w:ascii="Arial" w:eastAsia="Arial" w:hAnsi="Arial" w:cs="Arial"/>
          <w:sz w:val="20"/>
          <w:szCs w:val="20"/>
        </w:rPr>
        <w:t xml:space="preserve"> cabe aos arrematantes ou adjudicantes o pagamento da comissão do leiloeiro, estabelecida em 5% (cinco por cento) do valor da arrematação ou adjudicação. </w:t>
      </w:r>
    </w:p>
    <w:p w14:paraId="308A823D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CB3324E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</w:rPr>
        <w:t>Em caso de solução consensual entre devedor e credor após a publicação do edital, caberá ao devedor o pagamento das despesas incorridas para realização do leilão. Se a remissão ocorrer após a alienação, porém, caberá ao devedor o pagamento da comissão do leiloeiro, conforme dispõe o art. 7º, § 3º, da Resolução 236/2016, do CNJ.</w:t>
      </w:r>
    </w:p>
    <w:p w14:paraId="119DB381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9FC152E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</w:rPr>
        <w:t>Atenção: o mero inadimplemento da arrematação não desobriga o arrematante do pagamento, de modo que ficará sujeito à multa fixada pelo juízo em favor do credor, bem como ao pagamento da comissão do leiloeiro estipulada no presente Edital.</w:t>
      </w:r>
    </w:p>
    <w:p w14:paraId="06C58432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626D16A7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Dos lanços ofertados via internet:</w:t>
      </w:r>
      <w:r w:rsidRPr="00F94D74">
        <w:rPr>
          <w:rFonts w:ascii="Arial" w:eastAsia="Arial" w:hAnsi="Arial" w:cs="Arial"/>
          <w:sz w:val="20"/>
          <w:szCs w:val="20"/>
        </w:rPr>
        <w:t xml:space="preserve">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>O interessado em ofertar lances pela internet deverá, com antecedência mínima de 48 horas, cadastrar-se no site www.centralsuldeleiloes.com.br, e enviar a documentação que será oportunamente solicitada para homologação do cadastro.</w:t>
      </w:r>
    </w:p>
    <w:p w14:paraId="0E0AF01E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4AA7482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O interessado responderá civil e criminalmente pelas informações lançadas no preenchimento do aludido cadastro, oportunidade em que preencherá os dados pessoais (pessoa física ou jurídica) e aceitará integralmente as condições de participação previstas neste Edital e nos Termos de Uso constante na página eletrônica.</w:t>
      </w:r>
    </w:p>
    <w:p w14:paraId="2A446F40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1E6CC3CB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As pessoas físicas e jurídicas que solicitarem o cadastramento online outorgam poderes autorizando o leiloeiro oficial a assinar o auto de arrematação.</w:t>
      </w:r>
    </w:p>
    <w:p w14:paraId="4D9FF88B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0D0ED660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Os lanços eletrônicos poderão ser iniciados a partir do momento em que o presente Edital estiver publicado no site do leiloeiro, sendo que estes serão concretizados estritamente no ato de sua captação pelo servidor, e não necessariamente no ato da emissão pelo participante. Devido à suscetibilidade de falhas técnicas e variações de naturezas diversas e alheias ao controle do leiloeiro ou da plataforma (como velocidade de internet, qualidade da conexão, versão de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navegadores, </w:t>
      </w:r>
      <w:proofErr w:type="spellStart"/>
      <w:r w:rsidRPr="00F94D74">
        <w:rPr>
          <w:rFonts w:ascii="Arial" w:eastAsia="Arial" w:hAnsi="Arial" w:cs="Arial"/>
          <w:color w:val="000000"/>
          <w:sz w:val="20"/>
          <w:szCs w:val="20"/>
        </w:rPr>
        <w:t>packet</w:t>
      </w:r>
      <w:proofErr w:type="spellEnd"/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proofErr w:type="spellStart"/>
      <w:r w:rsidRPr="00F94D74">
        <w:rPr>
          <w:rFonts w:ascii="Arial" w:eastAsia="Arial" w:hAnsi="Arial" w:cs="Arial"/>
          <w:color w:val="000000"/>
          <w:sz w:val="20"/>
          <w:szCs w:val="20"/>
        </w:rPr>
        <w:t>loss</w:t>
      </w:r>
      <w:proofErr w:type="spellEnd"/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etc.), o leiloeiro não se responsabiliza por lances ofertados de forma eletrônica. Na hipótese de lances de valores iguais, prevalecerá sempre aquele quem primeiro ofertou.</w:t>
      </w:r>
    </w:p>
    <w:p w14:paraId="0D42C73E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5E24900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Aos participantes do leilão não é conferido qualquer tipo de direito em caso de problemas com o servidor, ou mesmo qualquer outra falha técnica que comprometa ou impossibilite a realização do leilão. A atualização constante da página onde é realizado o leilão bem como a limpeza do cache do navegador são de inteira responsabilidade dos interessados, uma vez que eventos alheios ao controle do leiloeiro podem afetar ou distorcer o carregamento em tempo real dos eventos enviados pelo servidor.</w:t>
      </w:r>
    </w:p>
    <w:p w14:paraId="651756AB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4B64DDE0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Sobrevindo lance nos 03 (três) minutos antecedentes ao término do leilão, o horário de fechamento será prorrogado em 03 (três) minutos, e assim sucessivamente, para que todos os interessados tenham oportunidade de ofertar novos lances.</w:t>
      </w:r>
    </w:p>
    <w:p w14:paraId="77A0A899" w14:textId="77777777" w:rsidR="000439AC" w:rsidRPr="00F94D74" w:rsidRDefault="000439AC" w:rsidP="000439AC">
      <w:pPr>
        <w:tabs>
          <w:tab w:val="left" w:pos="420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70E7B2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b/>
          <w:bCs/>
          <w:sz w:val="20"/>
          <w:szCs w:val="20"/>
          <w:u w:val="single"/>
        </w:rPr>
      </w:pP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Advertências Especiais:</w:t>
      </w:r>
    </w:p>
    <w:p w14:paraId="2B758A15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  <w:u w:val="single"/>
        </w:rPr>
      </w:pPr>
    </w:p>
    <w:p w14:paraId="573F091D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</w:rPr>
        <w:t xml:space="preserve">1ª) Por meio do presente, ficam as partes cientificadas da alienação judicial (art. 889, I e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>§ único</w:t>
      </w:r>
      <w:r w:rsidRPr="00F94D74">
        <w:rPr>
          <w:rFonts w:ascii="Arial" w:eastAsia="Arial" w:hAnsi="Arial" w:cs="Arial"/>
          <w:sz w:val="20"/>
          <w:szCs w:val="20"/>
        </w:rPr>
        <w:t xml:space="preserve">, do CPC), bem como seus cônjuges, representantes legais e eventuais credores hipotecários, usufrutuários, fiduciários e com penhora anteriormente averbadas, além de </w:t>
      </w:r>
      <w:proofErr w:type="gramStart"/>
      <w:r w:rsidRPr="00F94D74">
        <w:rPr>
          <w:rFonts w:ascii="Arial" w:eastAsia="Arial" w:hAnsi="Arial" w:cs="Arial"/>
          <w:sz w:val="20"/>
          <w:szCs w:val="20"/>
        </w:rPr>
        <w:t>eventuais ocupante</w:t>
      </w:r>
      <w:proofErr w:type="gramEnd"/>
      <w:r w:rsidRPr="00F94D74">
        <w:rPr>
          <w:rFonts w:ascii="Arial" w:eastAsia="Arial" w:hAnsi="Arial" w:cs="Arial"/>
          <w:sz w:val="20"/>
          <w:szCs w:val="20"/>
        </w:rPr>
        <w:t>(s)/detentor(e)s;</w:t>
      </w:r>
    </w:p>
    <w:p w14:paraId="284D944C" w14:textId="77777777" w:rsidR="000439AC" w:rsidRPr="00F94D74" w:rsidRDefault="000439AC" w:rsidP="000439AC">
      <w:pPr>
        <w:spacing w:before="0" w:line="240" w:lineRule="auto"/>
        <w:jc w:val="both"/>
        <w:rPr>
          <w:rFonts w:ascii="Arial" w:eastAsia="Arial" w:hAnsi="Arial" w:cs="Arial"/>
          <w:sz w:val="20"/>
          <w:szCs w:val="20"/>
        </w:rPr>
      </w:pPr>
    </w:p>
    <w:p w14:paraId="433EFDA1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2ª) O senhorio de direito, o coproprietário de bem indivisível do qual tenha sido penhorada fração ideal, o usufrutuário, o credor com garantia real ou com penhora anteriormente averbada que não seja de qualquer modo parte na execução, ficam neste ato igualmente intimados da alienação judicial (art. 889, II, III, e V do CPC);</w:t>
      </w:r>
    </w:p>
    <w:p w14:paraId="6294D10B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tabs>
          <w:tab w:val="left" w:pos="2617"/>
          <w:tab w:val="left" w:pos="2410"/>
        </w:tabs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2247EBF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2" w:name="_heading=h.5mceeifpje2k" w:colFirst="0" w:colLast="0"/>
      <w:bookmarkEnd w:id="2"/>
      <w:r w:rsidRPr="00F94D74">
        <w:rPr>
          <w:rFonts w:ascii="Arial" w:eastAsia="Arial" w:hAnsi="Arial" w:cs="Arial"/>
          <w:color w:val="000000"/>
          <w:sz w:val="20"/>
          <w:szCs w:val="20"/>
        </w:rPr>
        <w:t>3ª) Os bens serão leiloados e arrematados no estado em que se encontram, não sendo de responsabilidade do leiloeiro qualquer divergência eventualmente contida no edital. Ficam cientes os interessados de que a venda será realizada em caráter “</w:t>
      </w:r>
      <w:r w:rsidRPr="00F94D74">
        <w:rPr>
          <w:rFonts w:ascii="Arial" w:eastAsia="Arial" w:hAnsi="Arial" w:cs="Arial"/>
          <w:i/>
          <w:iCs/>
          <w:color w:val="000000"/>
          <w:sz w:val="20"/>
          <w:szCs w:val="20"/>
        </w:rPr>
        <w:t>ad corpus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>”, sendo que as descrições e imagens eventualmente divulgadas na plataforma possuem caráter meramente enunciativo e ilustrativo, e não representam, necessariamente, o objeto a ser leiloado. A verificação prévia do estado de conservação dos bens compete aos arrematantes, inclusive quanto à situação documental dos mesmos;</w:t>
      </w:r>
    </w:p>
    <w:p w14:paraId="4D1F2081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3E2EDAC5" w14:textId="77777777" w:rsidR="000439AC" w:rsidRPr="00F94D74" w:rsidRDefault="000439AC" w:rsidP="000439AC">
      <w:pPr>
        <w:shd w:val="clear" w:color="auto" w:fill="FFFFFF"/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sz w:val="20"/>
          <w:szCs w:val="20"/>
        </w:rPr>
        <w:t xml:space="preserve">4ª)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Os créditos que recaem sobre o bem, inclusive os de natureza </w:t>
      </w:r>
      <w:proofErr w:type="spellStart"/>
      <w:r w:rsidRPr="00F94D74">
        <w:rPr>
          <w:rFonts w:ascii="Arial" w:eastAsia="Arial" w:hAnsi="Arial" w:cs="Arial"/>
          <w:color w:val="000000"/>
          <w:sz w:val="20"/>
          <w:szCs w:val="20"/>
        </w:rPr>
        <w:t>propter</w:t>
      </w:r>
      <w:proofErr w:type="spellEnd"/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rem, sub-rogam-se sobre o respectivo preço, observada a ordem de preferência (art. 908, § 1º, do CPC, e art. 130, § único, do CTN);</w:t>
      </w:r>
    </w:p>
    <w:p w14:paraId="268B833F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136CCE5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bookmarkStart w:id="3" w:name="_heading=h.ln5ryn25djk4" w:colFirst="0" w:colLast="0"/>
      <w:bookmarkEnd w:id="3"/>
      <w:r w:rsidRPr="00F94D74">
        <w:rPr>
          <w:rFonts w:ascii="Arial" w:eastAsia="Arial" w:hAnsi="Arial" w:cs="Arial"/>
          <w:color w:val="000000"/>
          <w:sz w:val="20"/>
          <w:szCs w:val="20"/>
        </w:rPr>
        <w:t>5ª) Além de conferência prévia acerca da viabilidade de transferência e regularização de veículos (numeração de motor e chassi) e de imóveis, compete aos arrematantes as despesas com transferência e registro de propriedade, bem como com eventual retirada/transporte dos bens arrematados;</w:t>
      </w:r>
    </w:p>
    <w:p w14:paraId="3E5F5232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69E11C4E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6ª) As intimações necessárias poderão ser promovidas pela Secretaria por meio do Diário Oficial Eletrônico;</w:t>
      </w:r>
    </w:p>
    <w:p w14:paraId="7C07DBDC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548A8CF8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7ª) Compete ao leiloeiro tomar as medidas e estabelecer os critérios para o bom funcionamento do leilão. </w:t>
      </w:r>
    </w:p>
    <w:p w14:paraId="624EDE48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6B26858" w14:textId="77777777" w:rsidR="000439AC" w:rsidRPr="00F94D74" w:rsidRDefault="000439AC" w:rsidP="000439AC">
      <w:pPr>
        <w:spacing w:before="0" w:line="240" w:lineRule="auto"/>
        <w:ind w:firstLine="567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Demais esclarecimentos, bem como cópias do edital, poderão ser solicitados diretamente pelo site do leiloeiro – </w:t>
      </w:r>
      <w:hyperlink r:id="rId5">
        <w:r w:rsidRPr="00F94D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94D74">
        <w:rPr>
          <w:rFonts w:ascii="Arial" w:eastAsia="Arial" w:hAnsi="Arial" w:cs="Arial"/>
          <w:color w:val="000000"/>
          <w:sz w:val="20"/>
          <w:szCs w:val="20"/>
        </w:rPr>
        <w:t>, ou pelo fone: (48) 3437-6115.</w:t>
      </w:r>
    </w:p>
    <w:p w14:paraId="0559B8EF" w14:textId="77777777" w:rsidR="000439AC" w:rsidRPr="00F94D74" w:rsidRDefault="000439AC" w:rsidP="000439AC">
      <w:pPr>
        <w:spacing w:before="0" w:line="240" w:lineRule="auto"/>
        <w:ind w:firstLine="2835"/>
        <w:jc w:val="both"/>
        <w:rPr>
          <w:rFonts w:ascii="Arial" w:eastAsia="Arial" w:hAnsi="Arial" w:cs="Arial"/>
          <w:sz w:val="20"/>
          <w:szCs w:val="20"/>
        </w:rPr>
      </w:pPr>
    </w:p>
    <w:p w14:paraId="5E186ECE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01) Processo nº </w:t>
      </w:r>
      <w:r w:rsidRPr="00F94D74">
        <w:rPr>
          <w:rFonts w:ascii="Arial" w:eastAsia="Arial" w:hAnsi="Arial" w:cs="Arial"/>
          <w:b/>
          <w:bCs/>
          <w:sz w:val="20"/>
          <w:szCs w:val="20"/>
        </w:rPr>
        <w:t>5042553-18.2024.8.24.0090</w:t>
      </w:r>
    </w:p>
    <w:p w14:paraId="6A5FC7B3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>Exequente(s): Condomínio Residencial Luiz Henrique Rosa</w:t>
      </w:r>
    </w:p>
    <w:p w14:paraId="777D0952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Executado(s): </w:t>
      </w:r>
      <w:proofErr w:type="spellStart"/>
      <w:r w:rsidRPr="00F94D74">
        <w:rPr>
          <w:rFonts w:ascii="Arial" w:eastAsia="Arial" w:hAnsi="Arial" w:cs="Arial"/>
          <w:color w:val="000000"/>
          <w:sz w:val="20"/>
          <w:szCs w:val="20"/>
        </w:rPr>
        <w:t>Magaly</w:t>
      </w:r>
      <w:proofErr w:type="spellEnd"/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 Mendonça (Espólio) e outro</w:t>
      </w:r>
    </w:p>
    <w:p w14:paraId="12DB9331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>Bem(</w:t>
      </w:r>
      <w:proofErr w:type="spellStart"/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>ns</w:t>
      </w:r>
      <w:proofErr w:type="spellEnd"/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):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 xml:space="preserve">01 (um) apartamento n° 401, tipo A, localizado no 4° pavimento, e vaga de garagem 16, localizada no subsolo, do Bloco B, do Residencial Luiz Henrique Rosa, situado na Rua Deputado Antônio Edu Vieira, n° 15, Saco dos Limões, Município de Florianópolis/SC, com a área real privativa de 92,7387m², área comum total de 19,1275m², área real total de 111,8662m²; matriculado sob o nº 378 do 4º O.R.I. de Florianópolis/SC (registro anterior: matrícula n° 37.450 do 2° O.R.I. de Florianópolis/SC). Obs.: Atualização do numeral do endereço: nº 147. Inscrição </w:t>
      </w:r>
      <w:r w:rsidRPr="00F94D74">
        <w:rPr>
          <w:rFonts w:ascii="Arial" w:eastAsia="Arial" w:hAnsi="Arial" w:cs="Arial"/>
          <w:color w:val="000000"/>
          <w:sz w:val="20"/>
          <w:szCs w:val="20"/>
        </w:rPr>
        <w:lastRenderedPageBreak/>
        <w:t xml:space="preserve">Imobiliária sob o n° 52.68.003.0551.030-505. Ônus: Nada consta nos autos. Avaliado em R$ 650.000,00, em 18/03/2026, corrigido </w:t>
      </w:r>
      <w:r w:rsidRPr="00F94D74">
        <w:rPr>
          <w:rFonts w:ascii="Arial" w:eastAsia="Arial" w:hAnsi="Arial" w:cs="Arial"/>
          <w:b/>
          <w:bCs/>
          <w:color w:val="000000"/>
          <w:sz w:val="20"/>
          <w:szCs w:val="20"/>
        </w:rPr>
        <w:t>R$ 665.469,80 (seiscentos e sessenta e cinco mil, quatrocentos e sessenta e nove reais e oitenta centavos)</w:t>
      </w:r>
      <w:r w:rsidRPr="00F94D74">
        <w:rPr>
          <w:rFonts w:ascii="Arial" w:eastAsia="Arial" w:hAnsi="Arial" w:cs="Arial"/>
          <w:color w:val="000000"/>
          <w:sz w:val="20"/>
          <w:szCs w:val="20"/>
        </w:rPr>
        <w:t>, em julho de 2026.</w:t>
      </w:r>
    </w:p>
    <w:p w14:paraId="0CAA70C8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1B5620E" w14:textId="77777777" w:rsidR="000439AC" w:rsidRPr="00F94D74" w:rsidRDefault="000439AC" w:rsidP="000439AC">
      <w:pPr>
        <w:pBdr>
          <w:top w:val="nil"/>
          <w:left w:val="nil"/>
          <w:bottom w:val="nil"/>
          <w:right w:val="nil"/>
          <w:between w:val="nil"/>
        </w:pBdr>
        <w:spacing w:before="0" w:line="24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267F6BCF" w14:textId="77777777" w:rsidR="000439AC" w:rsidRPr="00F94D74" w:rsidRDefault="000439AC" w:rsidP="000439AC">
      <w:pPr>
        <w:spacing w:before="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F94D74">
        <w:rPr>
          <w:rFonts w:ascii="Arial" w:eastAsia="Arial" w:hAnsi="Arial" w:cs="Arial"/>
          <w:sz w:val="20"/>
          <w:szCs w:val="20"/>
        </w:rPr>
        <w:t xml:space="preserve">E, para que chegue ao conhecimento de todos os interessados, é passado o presente edital, que será publicado na forma da lei, no seguinte endereço eletrônico: </w:t>
      </w:r>
      <w:hyperlink r:id="rId6">
        <w:r w:rsidRPr="00F94D74">
          <w:rPr>
            <w:rFonts w:ascii="Arial" w:eastAsia="Arial" w:hAnsi="Arial" w:cs="Arial"/>
            <w:color w:val="000000"/>
            <w:sz w:val="20"/>
            <w:szCs w:val="20"/>
            <w:u w:val="single"/>
          </w:rPr>
          <w:t>www.centralsuldeleiloes.com.br</w:t>
        </w:r>
      </w:hyperlink>
      <w:r w:rsidRPr="00F94D74">
        <w:rPr>
          <w:rFonts w:ascii="Arial" w:eastAsia="Arial" w:hAnsi="Arial" w:cs="Arial"/>
          <w:sz w:val="20"/>
          <w:szCs w:val="20"/>
        </w:rPr>
        <w:t xml:space="preserve">. Maiores informações com o Leiloeiro Oficial pelo fone (48) 3437-6115 e/ou pelo endereço: Avenida Luiz </w:t>
      </w:r>
      <w:proofErr w:type="spellStart"/>
      <w:r w:rsidRPr="00F94D74">
        <w:rPr>
          <w:rFonts w:ascii="Arial" w:eastAsia="Arial" w:hAnsi="Arial" w:cs="Arial"/>
          <w:sz w:val="20"/>
          <w:szCs w:val="20"/>
        </w:rPr>
        <w:t>Lazzarin</w:t>
      </w:r>
      <w:proofErr w:type="spellEnd"/>
      <w:r w:rsidRPr="00F94D74">
        <w:rPr>
          <w:rFonts w:ascii="Arial" w:eastAsia="Arial" w:hAnsi="Arial" w:cs="Arial"/>
          <w:sz w:val="20"/>
          <w:szCs w:val="20"/>
        </w:rPr>
        <w:t xml:space="preserve">, 2.300, Criciúma/SC – site: </w:t>
      </w:r>
      <w:r w:rsidRPr="00F94D74">
        <w:rPr>
          <w:rFonts w:ascii="Arial" w:eastAsia="Arial" w:hAnsi="Arial" w:cs="Arial"/>
          <w:b/>
          <w:bCs/>
          <w:sz w:val="20"/>
          <w:szCs w:val="20"/>
          <w:u w:val="single"/>
        </w:rPr>
        <w:t>www.centralsuldeleiloes.com.br</w:t>
      </w:r>
      <w:r w:rsidRPr="00F94D74">
        <w:rPr>
          <w:rFonts w:ascii="Arial" w:eastAsia="Arial" w:hAnsi="Arial" w:cs="Arial"/>
          <w:sz w:val="20"/>
          <w:szCs w:val="20"/>
        </w:rPr>
        <w:t>. Florianópolis, 17 de agosto de 202x.</w:t>
      </w:r>
    </w:p>
    <w:p w14:paraId="0157AAF0" w14:textId="77777777" w:rsidR="000439AC" w:rsidRPr="00F94D74" w:rsidRDefault="000439AC" w:rsidP="000439A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B456F4A" w14:textId="77777777" w:rsidR="000439AC" w:rsidRPr="00F94D74" w:rsidRDefault="000439AC" w:rsidP="000439A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1CB22E7" w14:textId="77777777" w:rsidR="000439AC" w:rsidRPr="00F94D74" w:rsidRDefault="000439AC" w:rsidP="000439A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906E606" w14:textId="77777777" w:rsidR="000439AC" w:rsidRPr="00F94D74" w:rsidRDefault="000439AC" w:rsidP="000439AC">
      <w:pPr>
        <w:spacing w:before="0"/>
        <w:jc w:val="center"/>
        <w:rPr>
          <w:rFonts w:ascii="Arial" w:eastAsia="Arial" w:hAnsi="Arial" w:cs="Arial"/>
          <w:b/>
          <w:bCs/>
        </w:rPr>
      </w:pPr>
    </w:p>
    <w:p w14:paraId="18B35E22" w14:textId="77777777" w:rsidR="000439AC" w:rsidRDefault="000439AC" w:rsidP="000439AC">
      <w:pPr>
        <w:spacing w:befor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F94D74">
        <w:rPr>
          <w:rFonts w:ascii="Arial" w:eastAsia="Arial" w:hAnsi="Arial" w:cs="Arial"/>
          <w:b/>
          <w:bCs/>
          <w:sz w:val="24"/>
          <w:szCs w:val="24"/>
        </w:rPr>
        <w:t xml:space="preserve">Lúcio </w:t>
      </w:r>
      <w:proofErr w:type="spellStart"/>
      <w:r w:rsidRPr="00F94D74">
        <w:rPr>
          <w:rFonts w:ascii="Arial" w:eastAsia="Arial" w:hAnsi="Arial" w:cs="Arial"/>
          <w:b/>
          <w:bCs/>
          <w:sz w:val="24"/>
          <w:szCs w:val="24"/>
        </w:rPr>
        <w:t>Ubialli</w:t>
      </w:r>
      <w:proofErr w:type="spellEnd"/>
    </w:p>
    <w:p w14:paraId="342EEBD6" w14:textId="77777777" w:rsidR="000439AC" w:rsidRDefault="000439AC" w:rsidP="000439AC">
      <w:pPr>
        <w:spacing w:before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Leiloeiro Público Oficial/SC</w:t>
      </w:r>
    </w:p>
    <w:p w14:paraId="40819AEC" w14:textId="6961211A" w:rsidR="009B281A" w:rsidRPr="000439AC" w:rsidRDefault="000439AC" w:rsidP="000439AC">
      <w:pPr>
        <w:spacing w:before="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sz w:val="20"/>
          <w:szCs w:val="20"/>
        </w:rPr>
        <w:t>AARC/030</w:t>
      </w:r>
    </w:p>
    <w:sectPr w:rsidR="009B281A" w:rsidRPr="000439AC">
      <w:headerReference w:type="default" r:id="rId7"/>
      <w:pgSz w:w="11906" w:h="16838"/>
      <w:pgMar w:top="1702" w:right="1701" w:bottom="709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4D914" w14:textId="77777777" w:rsidR="00517396" w:rsidRDefault="000439A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1030BB42" wp14:editId="388C9DC1">
          <wp:simplePos x="0" y="0"/>
          <wp:positionH relativeFrom="column">
            <wp:posOffset>-1080132</wp:posOffset>
          </wp:positionH>
          <wp:positionV relativeFrom="paragraph">
            <wp:posOffset>-449577</wp:posOffset>
          </wp:positionV>
          <wp:extent cx="7564175" cy="10700496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4175" cy="1070049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9AC"/>
    <w:rsid w:val="000439AC"/>
    <w:rsid w:val="009B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99C0"/>
  <w15:chartTrackingRefBased/>
  <w15:docId w15:val="{63E6D672-58A6-431E-BE0E-26C43C8B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9AC"/>
    <w:pPr>
      <w:spacing w:before="960" w:after="0"/>
    </w:pPr>
    <w:rPr>
      <w:rFonts w:ascii="Calibri" w:eastAsia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0439AC"/>
    <w:pPr>
      <w:spacing w:before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0439AC"/>
    <w:rPr>
      <w:rFonts w:ascii="Times New Roman" w:eastAsia="Times New Roman" w:hAnsi="Times New Roman" w:cs="Times New Roman"/>
      <w:b/>
      <w:bCs/>
      <w:sz w:val="36"/>
      <w:szCs w:val="36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entralsuldeleiloes.com.br" TargetMode="External"/><Relationship Id="rId5" Type="http://schemas.openxmlformats.org/officeDocument/2006/relationships/hyperlink" Target="http://www.centralsuldeleiloes.com.br" TargetMode="External"/><Relationship Id="rId4" Type="http://schemas.openxmlformats.org/officeDocument/2006/relationships/hyperlink" Target="http://www.centralsuldeleiloes.com.br" TargetMode="Externa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1338</Words>
  <Characters>7226</Characters>
  <Application>Microsoft Office Word</Application>
  <DocSecurity>0</DocSecurity>
  <Lines>60</Lines>
  <Paragraphs>17</Paragraphs>
  <ScaleCrop>false</ScaleCrop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Diego Spillere</dc:creator>
  <cp:keywords/>
  <dc:description/>
  <cp:lastModifiedBy>Gabriel Diego Spillere</cp:lastModifiedBy>
  <cp:revision>1</cp:revision>
  <dcterms:created xsi:type="dcterms:W3CDTF">2026-08-18T20:27:00Z</dcterms:created>
  <dcterms:modified xsi:type="dcterms:W3CDTF">2026-08-18T20:27:00Z</dcterms:modified>
</cp:coreProperties>
</file>