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89D21" w14:textId="77777777" w:rsidR="00A13746" w:rsidRDefault="00A13746" w:rsidP="00A13746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0ED0ABD8" w14:textId="77777777" w:rsidR="00A13746" w:rsidRDefault="00A13746" w:rsidP="00A13746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65D416D" w14:textId="77777777" w:rsidR="00A13746" w:rsidRPr="00DA5845" w:rsidRDefault="00A13746" w:rsidP="00A13746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h7dqhg2fv3cr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 xml:space="preserve">JUÍZO DA UNIDADE ESTADUAL DE DIREITO BANCÁRIO DO ESTADO DE SANTA CATARINA, NA FORMA DA LEI ETC. </w:t>
      </w:r>
      <w:r w:rsidRPr="00DA5845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 xml:space="preserve"> Unidade Estadual de Direito Bancário</w:t>
      </w:r>
      <w:r w:rsidRPr="00DA5845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DA5845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72A3E922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eohup49kleui" w:colFirst="0" w:colLast="0"/>
      <w:bookmarkStart w:id="2" w:name="_heading=h.xrl6bx2nwkch" w:colFirst="0" w:colLast="0"/>
      <w:bookmarkEnd w:id="1"/>
      <w:bookmarkEnd w:id="2"/>
    </w:p>
    <w:p w14:paraId="1533A4FB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3" w:name="_heading=h.btehd59dxk03" w:colFirst="0" w:colLast="0"/>
      <w:bookmarkEnd w:id="3"/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>10/09/2026, às 16:00 horas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>dia 17/09/2026, às 16:00 horas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>a</w:t>
      </w:r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794CECC0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7236B1A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5845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DA5845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DA5845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DA5845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DA5845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DA5845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44D086E8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ED4508B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5845">
        <w:rPr>
          <w:rFonts w:ascii="Arial" w:eastAsia="Arial" w:hAnsi="Arial" w:cs="Arial"/>
          <w:sz w:val="20"/>
          <w:szCs w:val="20"/>
          <w:u w:val="single"/>
        </w:rPr>
        <w:t>Leiloeira Pública Oficial/Nomeada</w:t>
      </w:r>
      <w:r w:rsidRPr="00DA5845">
        <w:rPr>
          <w:rFonts w:ascii="Arial" w:eastAsia="Arial" w:hAnsi="Arial" w:cs="Arial"/>
          <w:sz w:val="20"/>
          <w:szCs w:val="20"/>
        </w:rPr>
        <w:t xml:space="preserve">: 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 xml:space="preserve">ELIZABETE UBIALLI </w:t>
      </w:r>
      <w:r w:rsidRPr="00DA5845">
        <w:rPr>
          <w:rFonts w:ascii="Arial" w:eastAsia="Arial" w:hAnsi="Arial" w:cs="Arial"/>
          <w:sz w:val="20"/>
          <w:szCs w:val="20"/>
        </w:rPr>
        <w:t>- matrícula AARC/305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DA5845">
        <w:rPr>
          <w:rFonts w:ascii="Arial" w:eastAsia="Arial" w:hAnsi="Arial" w:cs="Arial"/>
          <w:sz w:val="20"/>
          <w:szCs w:val="20"/>
        </w:rPr>
        <w:t xml:space="preserve">– </w:t>
      </w:r>
      <w:hyperlink r:id="rId4">
        <w:r w:rsidRPr="00DA5845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A5845">
        <w:rPr>
          <w:rFonts w:ascii="Arial" w:eastAsia="Arial" w:hAnsi="Arial" w:cs="Arial"/>
          <w:sz w:val="20"/>
          <w:szCs w:val="20"/>
        </w:rPr>
        <w:t xml:space="preserve"> </w:t>
      </w:r>
    </w:p>
    <w:p w14:paraId="0222AB4F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7129BC4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5845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>:</w:t>
      </w:r>
      <w:r w:rsidRPr="00DA5845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6FEE6C2B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8B8A6C6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5845">
        <w:rPr>
          <w:rFonts w:ascii="Arial" w:eastAsia="Arial" w:hAnsi="Arial" w:cs="Arial"/>
          <w:sz w:val="20"/>
          <w:szCs w:val="20"/>
        </w:rPr>
        <w:t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pela leiloeira, e deverão ser encaminhadas em tempo hábil para protocolo. Obs.: Terão preferência as ofertas para pagamento à vista, embora admita-se também propostas de parcelamento, mediante entrada de pelo menos 25% do montante e o restante em 30 mensalidades corrigidas pelo INPC/IBGE e acrescidas de juros de 1% ao mês, desde que constituída caução (bem móvel) ou hipoteca sobre o próprio bem (se imóvel), conforme art. 885, §§ 1º e 7º, do CPC; e, quarto, deverá prestar contas no prazo de 2 dias após o ato, nos termos do art. 884, V, do CPC, conforme evento 379.</w:t>
      </w:r>
    </w:p>
    <w:p w14:paraId="4EE2B98B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AF4EB80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5845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>:</w:t>
      </w:r>
      <w:r w:rsidRPr="00DA5845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 </w:t>
      </w:r>
    </w:p>
    <w:p w14:paraId="50FB7DD1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B169F8E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5845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0DF3E241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03B9F05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5845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6A5060A0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897C3DA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DA5845">
        <w:rPr>
          <w:rFonts w:ascii="Arial" w:eastAsia="Arial" w:hAnsi="Arial" w:cs="Arial"/>
          <w:sz w:val="20"/>
          <w:szCs w:val="20"/>
        </w:rPr>
        <w:t xml:space="preserve"> 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614140FC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F66E5A1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49842269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D28F693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57885CD6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55E6C43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DA5845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A5845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326C1D1C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8A57BAF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7F86D178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21EF42F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88A9833" w14:textId="77777777" w:rsidR="00A13746" w:rsidRPr="00DA5845" w:rsidRDefault="00A13746" w:rsidP="00A1374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FDB05F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DA5845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0A64102C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BCD0B6D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5845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DA5845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DA5845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DA5845">
        <w:rPr>
          <w:rFonts w:ascii="Arial" w:eastAsia="Arial" w:hAnsi="Arial" w:cs="Arial"/>
          <w:sz w:val="20"/>
          <w:szCs w:val="20"/>
        </w:rPr>
        <w:t>(s)/detentor(e)s;</w:t>
      </w:r>
    </w:p>
    <w:p w14:paraId="443C2B37" w14:textId="77777777" w:rsidR="00A13746" w:rsidRPr="00DA5845" w:rsidRDefault="00A13746" w:rsidP="00A1374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352B5EB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2719E984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8202B12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4" w:name="_heading=h.5mceeifpje2k" w:colFirst="0" w:colLast="0"/>
      <w:bookmarkEnd w:id="4"/>
      <w:r w:rsidRPr="00DA5845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</w:t>
      </w:r>
      <w:r w:rsidRPr="00DA5845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75211B44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1FF5B8" w14:textId="77777777" w:rsidR="00A13746" w:rsidRPr="00DA5845" w:rsidRDefault="00A13746" w:rsidP="00A13746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sz w:val="20"/>
          <w:szCs w:val="20"/>
        </w:rPr>
        <w:t xml:space="preserve">4ª) 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DA5845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6F224A9D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9560C6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5" w:name="_heading=h.ln5ryn25djk4" w:colFirst="0" w:colLast="0"/>
      <w:bookmarkEnd w:id="5"/>
      <w:r w:rsidRPr="00DA5845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2AAE4999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4A38DD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9745EA8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0605449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7ª) Compete à leiloeira tomar as medidas e estabelecer os critérios para o bom funcionamento do leilão. </w:t>
      </w:r>
    </w:p>
    <w:p w14:paraId="7A8E34A8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C86FD74" w14:textId="77777777" w:rsidR="00A13746" w:rsidRPr="00DA5845" w:rsidRDefault="00A13746" w:rsidP="00A13746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da leiloeira – </w:t>
      </w:r>
      <w:hyperlink r:id="rId5">
        <w:r w:rsidRPr="00DA5845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A5845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21B61EB0" w14:textId="77777777" w:rsidR="00A13746" w:rsidRPr="00DA5845" w:rsidRDefault="00A13746" w:rsidP="00A13746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62C40DB8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>0313553-88.2017.8.24.0038</w:t>
      </w:r>
    </w:p>
    <w:p w14:paraId="164F2623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>Exequente(s): Banco do Brasil S.A.</w:t>
      </w:r>
    </w:p>
    <w:p w14:paraId="7576BB78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Executado(s): Fabíola </w:t>
      </w:r>
      <w:proofErr w:type="spellStart"/>
      <w:r w:rsidRPr="00DA5845">
        <w:rPr>
          <w:rFonts w:ascii="Arial" w:eastAsia="Arial" w:hAnsi="Arial" w:cs="Arial"/>
          <w:color w:val="000000"/>
          <w:sz w:val="20"/>
          <w:szCs w:val="20"/>
        </w:rPr>
        <w:t>Kontopp</w:t>
      </w:r>
      <w:proofErr w:type="spellEnd"/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 Grasso e outros</w:t>
      </w:r>
    </w:p>
    <w:p w14:paraId="6702D19E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Bem(</w:t>
      </w:r>
      <w:proofErr w:type="spellStart"/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>01 (um)</w:t>
      </w:r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apartamento nº 702, do Edifício Residencial Toulouse, situado na Avenida Santa Catarina, esquina com a Rua Humberto Pimentel, Município de Barra Velha/SC, com a área privativa real de 372,626m², comum real de 43,533m² perfazendo uma área real correspondente ou global de 416,159 m², conforme alteração do memorial de incorporação </w:t>
      </w:r>
      <w:proofErr w:type="gramStart"/>
      <w:r w:rsidRPr="00DA5845">
        <w:rPr>
          <w:rFonts w:ascii="Arial" w:eastAsia="Arial" w:hAnsi="Arial" w:cs="Arial"/>
          <w:color w:val="000000"/>
          <w:sz w:val="20"/>
          <w:szCs w:val="20"/>
        </w:rPr>
        <w:t>no  Av</w:t>
      </w:r>
      <w:proofErr w:type="gramEnd"/>
      <w:r w:rsidRPr="00DA5845">
        <w:rPr>
          <w:rFonts w:ascii="Arial" w:eastAsia="Arial" w:hAnsi="Arial" w:cs="Arial"/>
          <w:color w:val="000000"/>
          <w:sz w:val="20"/>
          <w:szCs w:val="20"/>
        </w:rPr>
        <w:t>-3; matriculado sob o nº</w:t>
      </w:r>
      <w:r w:rsidRPr="00DA584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11.510 de C.R.I. de Barra Velha/SC. Obs.: Inscrição imobiliária sob o nº 01.01.059.0625.026. Trata-se de um apartamento duplex, identificado como unidade nº 702 do Condomínio Edifício Residencial Toulouse, localizado na Avenida Santa Catarina, esquina com a Rua Humberto Pimentel, no município de Barra Velha/SC. O Edifício Residencial Toulouse possuí fachada revestida em cerâmica, localização de </w:t>
      </w:r>
      <w:proofErr w:type="spellStart"/>
      <w:r w:rsidRPr="00DA5845">
        <w:rPr>
          <w:rFonts w:ascii="Arial" w:eastAsia="Arial" w:hAnsi="Arial" w:cs="Arial"/>
          <w:color w:val="000000"/>
          <w:sz w:val="20"/>
          <w:szCs w:val="20"/>
        </w:rPr>
        <w:t>quadra-mar</w:t>
      </w:r>
      <w:proofErr w:type="spellEnd"/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 e esquina, entrada de banhistas com lava-pés, portaria com acesso individualizado, dois elevadores e dois pavimentos destinados às vagas de garagem. A unidade imobiliária não pôde ser vistoriada internamente, razão pela qual não foi possível aferir seu estado de conservação. O imóvel está inserido em região central do município de Barra Velha/SC, caracterizado por imóveis residenciais e comerciais. Localizado na área central da cidade, perto do mar, com boa infraestrutura o imóvel tem um fator de comercialização considerável. O município de Barra Velha integra a Região Metropolitana da Foz do Rio Itajaí, situando-se aproximadamente a 140 km da capital Florianópolis. A cidade tem seu maior fluxo maior durante a temporada de verão. A região é atendida pelo Aeroporto Internacional Ministro Victor Konder, localizado no município vizinho de Navegantes. Ônus: Indisponibilidade nos autos nº 0011491-58.2017.5.18.0009 que tramita na 9ª Vara do Trabalho de Goiânia/GO, nos autos nº 0000455-52.2019.5.11.0006 que tramita na 6ª Vara do Trabalho de Manaus/AM, nos autos nº 0010643-77.2015.5.03.0003 que tramita na 3ª Vara do Trabalho de Belo Horizonte/MG, nos autos nº 0020496-29.2019.5.04.0008 que tramita na 8ª Vara do Trabalho de Porto Alegre/RS, nos autos nº 0000970-13.2017.5.13.0003 que tramita na 3ª Vara do Trabalho de João Pessoa/PB, nos autos nº 0000296-63.2016.5.13.0005,  nº 0001948-18.2016.5.13.0005 que tramita na 5ª Vara do Trabalho de João Pessoa/PB, nos autos nº 0000386-14.2019.5.11.0008 que tramita na 8ª Vara do Trabalho de Manaus/AM, nos autos nº 0011186-93.2013.5.11.0014 que tramita na 14ª Vara do Trabalho de Manaus/AM; penhorado nos autos nº 0002234-17.2016.5.11.0016 que tramita na 16ª Vara do Trabalho de Manaus/AM; existência da Ação de Execução nos autos nº 1118257-02.2016.8.26.0100 que tramita na 24ª Vara Cível do Foro Central Cível da Comarca de São Paulo/SP; hipotecado em 1º grau em favor do Banco do Brasil S/A (</w:t>
      </w:r>
      <w:r w:rsidRPr="00DA5845">
        <w:rPr>
          <w:rFonts w:ascii="Arial" w:eastAsia="Arial" w:hAnsi="Arial" w:cs="Arial"/>
          <w:sz w:val="20"/>
          <w:szCs w:val="20"/>
        </w:rPr>
        <w:t>R-19</w:t>
      </w:r>
      <w:r w:rsidRPr="00DA5845">
        <w:rPr>
          <w:rFonts w:ascii="Arial" w:eastAsia="Arial" w:hAnsi="Arial" w:cs="Arial"/>
          <w:color w:val="000000"/>
          <w:sz w:val="20"/>
          <w:szCs w:val="20"/>
        </w:rPr>
        <w:t xml:space="preserve">) conforme retificado no Av-20 e hipoteca em 2º grau em favor do Banco do Brasil S/A (R-23). </w:t>
      </w:r>
      <w:r w:rsidRPr="00DA5845">
        <w:rPr>
          <w:rFonts w:ascii="Arial" w:eastAsia="Arial" w:hAnsi="Arial" w:cs="Arial"/>
          <w:sz w:val="20"/>
          <w:szCs w:val="20"/>
        </w:rPr>
        <w:t xml:space="preserve">Avaliado em R$ 900.000,00, em 10/10/2024, corrigido </w:t>
      </w:r>
      <w:r w:rsidRPr="00DA5845">
        <w:rPr>
          <w:rFonts w:ascii="Arial" w:eastAsia="Arial" w:hAnsi="Arial" w:cs="Arial"/>
          <w:b/>
          <w:bCs/>
          <w:sz w:val="20"/>
          <w:szCs w:val="20"/>
        </w:rPr>
        <w:t>982.706,31 (novecentos e oitenta e dois mil, setecentos e seis reais e trinta e um centavos)</w:t>
      </w:r>
      <w:r w:rsidRPr="00DA5845">
        <w:rPr>
          <w:rFonts w:ascii="Arial" w:eastAsia="Arial" w:hAnsi="Arial" w:cs="Arial"/>
          <w:sz w:val="20"/>
          <w:szCs w:val="20"/>
        </w:rPr>
        <w:t xml:space="preserve">, em maio de 2026. </w:t>
      </w:r>
    </w:p>
    <w:p w14:paraId="7230914F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4367A7" w14:textId="77777777" w:rsidR="00A13746" w:rsidRPr="00DA5845" w:rsidRDefault="00A13746" w:rsidP="00A1374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0EC577F" w14:textId="77777777" w:rsidR="00A13746" w:rsidRPr="00DA5845" w:rsidRDefault="00A13746" w:rsidP="00A13746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A5845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DA5845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A5845">
        <w:rPr>
          <w:rFonts w:ascii="Arial" w:eastAsia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DA5845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DA5845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DA5845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DA5845">
        <w:rPr>
          <w:rFonts w:ascii="Arial" w:eastAsia="Arial" w:hAnsi="Arial" w:cs="Arial"/>
          <w:sz w:val="20"/>
          <w:szCs w:val="20"/>
        </w:rPr>
        <w:t>. Florianópolis, 01 de julho de 2026.</w:t>
      </w:r>
    </w:p>
    <w:p w14:paraId="15E57736" w14:textId="77777777" w:rsidR="00A13746" w:rsidRPr="00DA5845" w:rsidRDefault="00A13746" w:rsidP="00A13746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F1AFE74" w14:textId="77777777" w:rsidR="00A13746" w:rsidRPr="00DA5845" w:rsidRDefault="00A13746" w:rsidP="00A13746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9A06594" w14:textId="77777777" w:rsidR="00A13746" w:rsidRPr="00DA5845" w:rsidRDefault="00A13746" w:rsidP="00A13746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965DCDF" w14:textId="77777777" w:rsidR="00A13746" w:rsidRPr="00DA5845" w:rsidRDefault="00A13746" w:rsidP="00A13746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63D72563" w14:textId="77777777" w:rsidR="00A13746" w:rsidRDefault="00A13746" w:rsidP="00A13746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A5845">
        <w:rPr>
          <w:rFonts w:ascii="Arial" w:eastAsia="Arial" w:hAnsi="Arial" w:cs="Arial"/>
          <w:b/>
          <w:bCs/>
          <w:sz w:val="24"/>
          <w:szCs w:val="24"/>
        </w:rPr>
        <w:t xml:space="preserve">Elizabete </w:t>
      </w:r>
      <w:proofErr w:type="spellStart"/>
      <w:r w:rsidRPr="00DA5845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4FC220A7" w14:textId="77777777" w:rsidR="00A13746" w:rsidRDefault="00A13746" w:rsidP="00A13746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Leiloeira Pública Oficial/SC</w:t>
      </w:r>
    </w:p>
    <w:p w14:paraId="361ECB63" w14:textId="28404CB1" w:rsidR="00BA3369" w:rsidRPr="00A13746" w:rsidRDefault="00A13746" w:rsidP="00A13746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AARC/305</w:t>
      </w:r>
    </w:p>
    <w:sectPr w:rsidR="00BA3369" w:rsidRPr="00A13746">
      <w:headerReference w:type="default" r:id="rId7"/>
      <w:pgSz w:w="11906" w:h="16838"/>
      <w:pgMar w:top="1702" w:right="1701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90D5" w14:textId="77777777" w:rsidR="005E459D" w:rsidRDefault="00A137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C824A24" wp14:editId="4D6315E7">
          <wp:simplePos x="0" y="0"/>
          <wp:positionH relativeFrom="column">
            <wp:posOffset>-1080131</wp:posOffset>
          </wp:positionH>
          <wp:positionV relativeFrom="paragraph">
            <wp:posOffset>-457527</wp:posOffset>
          </wp:positionV>
          <wp:extent cx="7559939" cy="10694504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46"/>
    <w:rsid w:val="00A13746"/>
    <w:rsid w:val="00BA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57C4"/>
  <w15:chartTrackingRefBased/>
  <w15:docId w15:val="{B974CC05-CDC4-4D25-9B24-69E1FBC4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746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A13746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A13746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1750</Words>
  <Characters>9455</Characters>
  <Application>Microsoft Office Word</Application>
  <DocSecurity>0</DocSecurity>
  <Lines>78</Lines>
  <Paragraphs>22</Paragraphs>
  <ScaleCrop>false</ScaleCrop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2026-07-02T11:29:00Z</dcterms:created>
  <dcterms:modified xsi:type="dcterms:W3CDTF">2026-07-02T11:29:00Z</dcterms:modified>
</cp:coreProperties>
</file>