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659C3" w14:textId="77777777" w:rsidR="00BC7ED8" w:rsidRPr="00906B3D" w:rsidRDefault="00BC7ED8" w:rsidP="00BC7ED8">
      <w:pPr>
        <w:pStyle w:val="Ttulo"/>
        <w:rPr>
          <w:rFonts w:ascii="Arial" w:eastAsia="Arial" w:hAnsi="Arial" w:cs="Arial"/>
          <w:sz w:val="24"/>
          <w:szCs w:val="24"/>
        </w:rPr>
      </w:pPr>
      <w:r w:rsidRPr="00906B3D">
        <w:rPr>
          <w:rFonts w:ascii="Arial" w:eastAsia="Arial" w:hAnsi="Arial" w:cs="Arial"/>
          <w:sz w:val="24"/>
          <w:szCs w:val="24"/>
        </w:rPr>
        <w:t>EDITAL DE LEILÃO E INTIMAÇÃO</w:t>
      </w:r>
    </w:p>
    <w:p w14:paraId="0E8E747F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A17D9C6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O JUÍZO DE DIREITO DA VARA REGIONAL DE FALÊNCIAS, RECUPERAÇÃO JUDICIAL E EXTRAJUDICIAL DE JARAGUÁ DO SUL DO ESTADO DE SANTA CATARINA, NA FORMA DA LEI ETC. </w:t>
      </w:r>
    </w:p>
    <w:p w14:paraId="500A25CB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14:paraId="3058C4AC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FAZ SABER, aos que o presente EDITAL vir ou dele tiverem conhecimento, que, nos autos da </w:t>
      </w:r>
      <w:proofErr w:type="spellStart"/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>Cipla</w:t>
      </w:r>
      <w:proofErr w:type="spellEnd"/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Indústria de Materiais de Construção S/A – </w:t>
      </w:r>
      <w:r w:rsidRPr="00906B3D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autos nº 0316258-88.2019.8.24.0038</w:t>
      </w:r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, foi designada a alienação judicial do bem indicado abaixo, na modalidade de </w:t>
      </w:r>
      <w:r w:rsidRPr="00906B3D">
        <w:rPr>
          <w:rFonts w:ascii="Arial" w:eastAsia="Arial" w:hAnsi="Arial" w:cs="Arial"/>
          <w:i/>
          <w:iCs/>
          <w:color w:val="000000"/>
          <w:sz w:val="20"/>
          <w:szCs w:val="20"/>
        </w:rPr>
        <w:t>LEILÃO PÚBLICO ELETRÔNICO</w:t>
      </w:r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 (on-line), na forma prevista no art. 142, I, § 3º-A, da Lei n.º 11.101/2005, com redação dada pela Lei 14.112/2020, nas datas, local, horário e sob as condições adiante descritas, devendo os licitantes comparecer cientes de que </w:t>
      </w:r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>o pagamento deverá ser realizado à vista</w:t>
      </w:r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, mediante depósito em conta vinculada ao processo de Falência nº </w:t>
      </w:r>
      <w:r w:rsidRPr="00906B3D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0316258-88.2019.8.24.0038</w:t>
      </w:r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>,</w:t>
      </w:r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 em trâmite na Vara Regional de Falências, Recuperação Judicial e Extrajudicial de Jaraguá do Sul/SC. </w:t>
      </w:r>
    </w:p>
    <w:p w14:paraId="587DD1D9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DE86A17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0" w:name="_heading=h.9wurbiye73y3" w:colFirst="0" w:colLast="0"/>
      <w:bookmarkEnd w:id="0"/>
      <w:r w:rsidRPr="00906B3D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1º Leilão</w:t>
      </w:r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: </w:t>
      </w:r>
      <w:r w:rsidRPr="00906B3D">
        <w:rPr>
          <w:rFonts w:ascii="Arial" w:eastAsia="Arial" w:hAnsi="Arial" w:cs="Arial"/>
          <w:b/>
          <w:bCs/>
          <w:sz w:val="20"/>
          <w:szCs w:val="20"/>
        </w:rPr>
        <w:t>06</w:t>
      </w:r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>/</w:t>
      </w:r>
      <w:r w:rsidRPr="00906B3D">
        <w:rPr>
          <w:rFonts w:ascii="Arial" w:eastAsia="Arial" w:hAnsi="Arial" w:cs="Arial"/>
          <w:b/>
          <w:bCs/>
          <w:sz w:val="20"/>
          <w:szCs w:val="20"/>
        </w:rPr>
        <w:t>07</w:t>
      </w:r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>/202</w:t>
      </w:r>
      <w:r w:rsidRPr="00906B3D">
        <w:rPr>
          <w:rFonts w:ascii="Arial" w:eastAsia="Arial" w:hAnsi="Arial" w:cs="Arial"/>
          <w:b/>
          <w:bCs/>
          <w:sz w:val="20"/>
          <w:szCs w:val="20"/>
        </w:rPr>
        <w:t>6</w:t>
      </w:r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>, às 13:45 horas</w:t>
      </w:r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, com encerramento às </w:t>
      </w:r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>1</w:t>
      </w:r>
      <w:r w:rsidRPr="00906B3D">
        <w:rPr>
          <w:rFonts w:ascii="Arial" w:eastAsia="Arial" w:hAnsi="Arial" w:cs="Arial"/>
          <w:b/>
          <w:bCs/>
          <w:sz w:val="20"/>
          <w:szCs w:val="20"/>
        </w:rPr>
        <w:t>5</w:t>
      </w:r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>:45 horas</w:t>
      </w:r>
      <w:r w:rsidRPr="00906B3D">
        <w:rPr>
          <w:rFonts w:ascii="Arial" w:eastAsia="Arial" w:hAnsi="Arial" w:cs="Arial"/>
          <w:color w:val="000000"/>
          <w:sz w:val="20"/>
          <w:szCs w:val="20"/>
        </w:rPr>
        <w:t>, por preço igual ou superior a avaliação do bem.</w:t>
      </w:r>
    </w:p>
    <w:p w14:paraId="083AE2A7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615E287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06B3D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2º Leilão</w:t>
      </w:r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: </w:t>
      </w:r>
      <w:r w:rsidRPr="00906B3D">
        <w:rPr>
          <w:rFonts w:ascii="Arial" w:eastAsia="Arial" w:hAnsi="Arial" w:cs="Arial"/>
          <w:b/>
          <w:bCs/>
          <w:sz w:val="20"/>
          <w:szCs w:val="20"/>
        </w:rPr>
        <w:t>20</w:t>
      </w:r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>/</w:t>
      </w:r>
      <w:r w:rsidRPr="00906B3D">
        <w:rPr>
          <w:rFonts w:ascii="Arial" w:eastAsia="Arial" w:hAnsi="Arial" w:cs="Arial"/>
          <w:b/>
          <w:bCs/>
          <w:sz w:val="20"/>
          <w:szCs w:val="20"/>
        </w:rPr>
        <w:t>07</w:t>
      </w:r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>/202</w:t>
      </w:r>
      <w:r w:rsidRPr="00906B3D">
        <w:rPr>
          <w:rFonts w:ascii="Arial" w:eastAsia="Arial" w:hAnsi="Arial" w:cs="Arial"/>
          <w:b/>
          <w:bCs/>
          <w:sz w:val="20"/>
          <w:szCs w:val="20"/>
        </w:rPr>
        <w:t>6</w:t>
      </w:r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>, às 13:45 horas</w:t>
      </w:r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, com encerramento às </w:t>
      </w:r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>1</w:t>
      </w:r>
      <w:r w:rsidRPr="00906B3D">
        <w:rPr>
          <w:rFonts w:ascii="Arial" w:eastAsia="Arial" w:hAnsi="Arial" w:cs="Arial"/>
          <w:b/>
          <w:bCs/>
          <w:sz w:val="20"/>
          <w:szCs w:val="20"/>
        </w:rPr>
        <w:t>5</w:t>
      </w:r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>:45 horas</w:t>
      </w:r>
      <w:r w:rsidRPr="00906B3D">
        <w:rPr>
          <w:rFonts w:ascii="Arial" w:eastAsia="Arial" w:hAnsi="Arial" w:cs="Arial"/>
          <w:color w:val="000000"/>
          <w:sz w:val="20"/>
          <w:szCs w:val="20"/>
        </w:rPr>
        <w:t>, a quem mais der, desde que igual ou superior à 50% da avaliação.</w:t>
      </w:r>
    </w:p>
    <w:p w14:paraId="20A04849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001D9EF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06B3D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3º Leilão</w:t>
      </w:r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>: 03/</w:t>
      </w:r>
      <w:r w:rsidRPr="00906B3D">
        <w:rPr>
          <w:rFonts w:ascii="Arial" w:eastAsia="Arial" w:hAnsi="Arial" w:cs="Arial"/>
          <w:b/>
          <w:bCs/>
          <w:sz w:val="20"/>
          <w:szCs w:val="20"/>
        </w:rPr>
        <w:t>08</w:t>
      </w:r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>/202</w:t>
      </w:r>
      <w:r w:rsidRPr="00906B3D">
        <w:rPr>
          <w:rFonts w:ascii="Arial" w:eastAsia="Arial" w:hAnsi="Arial" w:cs="Arial"/>
          <w:b/>
          <w:bCs/>
          <w:sz w:val="20"/>
          <w:szCs w:val="20"/>
        </w:rPr>
        <w:t>6</w:t>
      </w:r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>, às 13:45 horas</w:t>
      </w:r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, com encerramento às </w:t>
      </w:r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>1</w:t>
      </w:r>
      <w:r w:rsidRPr="00906B3D">
        <w:rPr>
          <w:rFonts w:ascii="Arial" w:eastAsia="Arial" w:hAnsi="Arial" w:cs="Arial"/>
          <w:b/>
          <w:bCs/>
          <w:sz w:val="20"/>
          <w:szCs w:val="20"/>
        </w:rPr>
        <w:t>5</w:t>
      </w:r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>:45 horas</w:t>
      </w:r>
      <w:r w:rsidRPr="00906B3D">
        <w:rPr>
          <w:rFonts w:ascii="Arial" w:eastAsia="Arial" w:hAnsi="Arial" w:cs="Arial"/>
          <w:color w:val="000000"/>
          <w:sz w:val="20"/>
          <w:szCs w:val="20"/>
        </w:rPr>
        <w:t>, por qualquer preço, condicionado à anuência do juízo.</w:t>
      </w:r>
    </w:p>
    <w:p w14:paraId="22126F42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842EAC1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06B3D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Local do Leilão</w:t>
      </w:r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>:</w:t>
      </w:r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 no endereço eletrônico (site) </w:t>
      </w:r>
      <w:r w:rsidRPr="00906B3D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www.centralsuldeleiloes.com.br</w:t>
      </w:r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da leiloeira, situado na Avenida Luiz </w:t>
      </w:r>
      <w:proofErr w:type="spellStart"/>
      <w:r w:rsidRPr="00906B3D">
        <w:rPr>
          <w:rFonts w:ascii="Arial" w:eastAsia="Arial" w:hAnsi="Arial" w:cs="Arial"/>
          <w:color w:val="000000"/>
          <w:sz w:val="20"/>
          <w:szCs w:val="20"/>
        </w:rPr>
        <w:t>Lazzarin</w:t>
      </w:r>
      <w:proofErr w:type="spellEnd"/>
      <w:r w:rsidRPr="00906B3D">
        <w:rPr>
          <w:rFonts w:ascii="Arial" w:eastAsia="Arial" w:hAnsi="Arial" w:cs="Arial"/>
          <w:color w:val="000000"/>
          <w:sz w:val="20"/>
          <w:szCs w:val="20"/>
        </w:rPr>
        <w:t>, n.º 2.300, Santo Antônio, em Criciúma/SC.</w:t>
      </w:r>
    </w:p>
    <w:p w14:paraId="7A34B54B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531BED84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06B3D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Leiloeira Pública Oficial/Nomeada</w:t>
      </w:r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>: ELIZABETE UBIALLI</w:t>
      </w:r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 - matrícula AARC/305 – </w:t>
      </w:r>
      <w:hyperlink r:id="rId4">
        <w:r w:rsidRPr="00906B3D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906B3D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7173B0C0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E50A0BE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06B3D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Do pagamento:</w:t>
      </w:r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 Os licitantes devem comparecer cientes de que </w:t>
      </w:r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>o pagamento deverá ser realizado à vista</w:t>
      </w:r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, mediante depósito em conta vinculada ao processo de Falência nº </w:t>
      </w:r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>0316258-88.2019.8.24.0038</w:t>
      </w:r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, em trâmite na Vara Regional de Falências, Recuperação Judicial e Extrajudicial de Jaraguá do Sul/SC. </w:t>
      </w:r>
    </w:p>
    <w:p w14:paraId="7633A7E9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6BD7E78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1" w:name="_heading=h.gjdgxs" w:colFirst="0" w:colLast="0"/>
      <w:bookmarkEnd w:id="1"/>
      <w:r w:rsidRPr="00906B3D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Da comissão da leiloeira</w:t>
      </w:r>
      <w:r w:rsidRPr="00906B3D">
        <w:rPr>
          <w:rFonts w:ascii="Arial" w:eastAsia="Arial" w:hAnsi="Arial" w:cs="Arial"/>
          <w:color w:val="000000"/>
          <w:sz w:val="20"/>
          <w:szCs w:val="20"/>
        </w:rPr>
        <w:t>: cabe aos arrematantes ou adjudicantes o pagamento da comissão de leiloeira, estabelecida em 5% (cinco por cento) do valor da arrematação ou adjudicação.</w:t>
      </w:r>
    </w:p>
    <w:p w14:paraId="1EA99FEE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C693B3C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06B3D">
        <w:rPr>
          <w:rFonts w:ascii="Arial" w:eastAsia="Arial" w:hAnsi="Arial" w:cs="Arial"/>
          <w:color w:val="000000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da leiloeira estipulada no presente Edital.</w:t>
      </w:r>
    </w:p>
    <w:p w14:paraId="1C125B78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74BC903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06B3D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Dos lanços ofertados via internet:</w:t>
      </w:r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 O interessado em ofertar lances pela internet deverá, com antecedência mínima de 48 horas, cadastrar-se no site </w:t>
      </w:r>
      <w:hyperlink r:id="rId5">
        <w:r w:rsidRPr="00906B3D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906B3D">
        <w:rPr>
          <w:rFonts w:ascii="Arial" w:eastAsia="Arial" w:hAnsi="Arial" w:cs="Arial"/>
          <w:color w:val="000000"/>
          <w:sz w:val="20"/>
          <w:szCs w:val="20"/>
        </w:rPr>
        <w:t>, e enviar a documentação que será oportunamente solicitada para homologação do cadastro.</w:t>
      </w:r>
    </w:p>
    <w:p w14:paraId="016B3755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936770C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06B3D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0981BF8F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19E98C4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06B3D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a leiloeira oficial a assinar o auto de arrematação.</w:t>
      </w:r>
    </w:p>
    <w:p w14:paraId="4C578828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50F4CBC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da leiloeira, sendo que estes serão concretizados no ato de sua captação pelo provedor e não no ato da emissão pelo participante. Devido à suscetibilidade de falhas técnicas e variações de naturezas diversas (como velocidade de internet, qualidade da conexão, versão </w:t>
      </w:r>
      <w:r w:rsidRPr="00906B3D">
        <w:rPr>
          <w:rFonts w:ascii="Arial" w:eastAsia="Arial" w:hAnsi="Arial" w:cs="Arial"/>
          <w:color w:val="000000"/>
          <w:sz w:val="20"/>
          <w:szCs w:val="20"/>
        </w:rPr>
        <w:lastRenderedPageBreak/>
        <w:t>de navegadores etc.) a Leiloeira não se responsabiliza por lances ofertados de forma eletrônica. Na hipótese de lances de valores iguais, prevalecerá sempre aquele quem primeiro ofertou.</w:t>
      </w:r>
    </w:p>
    <w:p w14:paraId="46FF98D8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6977A6C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06B3D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</w:t>
      </w:r>
    </w:p>
    <w:p w14:paraId="0C4066EA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DB8E525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  <w:r w:rsidRPr="00906B3D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Advertências Especiais:</w:t>
      </w:r>
    </w:p>
    <w:p w14:paraId="593B7084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8585B02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1) Sucessão e Contratos: Por força do disposto no § único do artigo 60 da Lei n. 11.101/2005, "o produto objeto da alienação estará livre de qualquer ônus e não haverá sucessão do arrematante nas obrigações do devedor, inclusive as de natureza tributária, as derivadas da legislação do trabalho e as decorrentes de acidentes de trabalho", observado os limites do §1º do artigo 141 da mesma lei. </w:t>
      </w:r>
    </w:p>
    <w:p w14:paraId="50A83A83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06B3D">
        <w:rPr>
          <w:rFonts w:ascii="Arial" w:eastAsia="Arial" w:hAnsi="Arial" w:cs="Arial"/>
          <w:color w:val="000000"/>
          <w:sz w:val="20"/>
          <w:szCs w:val="20"/>
        </w:rPr>
        <w:t> </w:t>
      </w:r>
    </w:p>
    <w:p w14:paraId="60D984CF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2) Quando possível, o estado de conservação dos bens poderá ser verificado pelo pretenso arrematante mediante agendamento prévio com a Leiloeira pelo telefone: </w:t>
      </w:r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>(48) 3437-6115</w:t>
      </w:r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, ou e-mail: </w:t>
      </w:r>
      <w:hyperlink r:id="rId6">
        <w:r w:rsidRPr="00906B3D">
          <w:rPr>
            <w:rFonts w:ascii="Arial" w:eastAsia="Arial" w:hAnsi="Arial" w:cs="Arial"/>
            <w:color w:val="0000FF"/>
            <w:sz w:val="20"/>
            <w:szCs w:val="20"/>
            <w:u w:val="single"/>
          </w:rPr>
          <w:t>ubialli@centralsuldeleiloes.com.br</w:t>
        </w:r>
      </w:hyperlink>
      <w:r w:rsidRPr="00906B3D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13C8F582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F7F3CD1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06B3D">
        <w:rPr>
          <w:rFonts w:ascii="Arial" w:eastAsia="Arial" w:hAnsi="Arial" w:cs="Arial"/>
          <w:color w:val="000000"/>
          <w:sz w:val="20"/>
          <w:szCs w:val="20"/>
        </w:rPr>
        <w:t>3) Os bens serão leiloados e arrematados no estado em que se encontram, não sendo de responsabilidade da leiloeira qualquer divergência eventualmente contida no edital. Ainda, ficam cientes os interessados de que a venda será realizada em caráter “</w:t>
      </w:r>
      <w:r w:rsidRPr="00906B3D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mesmos. A relação com a descrição completa dos bens pode ser consultada no site </w:t>
      </w:r>
      <w:hyperlink r:id="rId7">
        <w:r w:rsidRPr="00906B3D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906B3D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6F4CE76E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4574811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4) São objeto desta alienação os Bens da </w:t>
      </w:r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Falência de </w:t>
      </w:r>
      <w:proofErr w:type="spellStart"/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>Cipla</w:t>
      </w:r>
      <w:proofErr w:type="spellEnd"/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Indústria de Materiais de Construção S/A</w:t>
      </w:r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, devidamente relacionados no despacho decisão de evento </w:t>
      </w:r>
      <w:r w:rsidRPr="00906B3D">
        <w:rPr>
          <w:rFonts w:ascii="Arial" w:eastAsia="Arial" w:hAnsi="Arial" w:cs="Arial"/>
          <w:sz w:val="20"/>
          <w:szCs w:val="20"/>
        </w:rPr>
        <w:t>1154</w:t>
      </w:r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 e Laudo de Avaliação de evento 1</w:t>
      </w:r>
      <w:r w:rsidRPr="00906B3D">
        <w:rPr>
          <w:rFonts w:ascii="Arial" w:eastAsia="Arial" w:hAnsi="Arial" w:cs="Arial"/>
          <w:sz w:val="20"/>
          <w:szCs w:val="20"/>
        </w:rPr>
        <w:t>119</w:t>
      </w:r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, dos autos do processo falimentar nº </w:t>
      </w:r>
      <w:r w:rsidRPr="00906B3D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0316258-88.2019.8.24.0038</w:t>
      </w:r>
      <w:r w:rsidRPr="00906B3D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53749D99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06B3D">
        <w:rPr>
          <w:rFonts w:ascii="Arial" w:eastAsia="Arial" w:hAnsi="Arial" w:cs="Arial"/>
          <w:color w:val="000000"/>
          <w:sz w:val="20"/>
          <w:szCs w:val="20"/>
        </w:rPr>
        <w:t> </w:t>
      </w:r>
    </w:p>
    <w:p w14:paraId="3BCEE64D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5) Em se verificando eventuais divergências entre as relações e/ou valores dos bens constantes neste edital, com aquelas do Auto de Arrecadação juntado aos autos do processo falimentar nº </w:t>
      </w:r>
      <w:r w:rsidRPr="00906B3D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0316258-88.2019.8.24.0038</w:t>
      </w:r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, prevalecerão as relações e os valores contidos no </w:t>
      </w:r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>Auto de Arrecadação</w:t>
      </w:r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 e no </w:t>
      </w:r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>Laudo de Avaliação</w:t>
      </w:r>
      <w:r w:rsidRPr="00906B3D">
        <w:rPr>
          <w:rFonts w:ascii="Arial" w:eastAsia="Arial" w:hAnsi="Arial" w:cs="Arial"/>
          <w:color w:val="000000"/>
          <w:sz w:val="20"/>
          <w:szCs w:val="20"/>
        </w:rPr>
        <w:t>, para fins de aferição das ofertas, pagamento e entrega de bens.</w:t>
      </w:r>
    </w:p>
    <w:p w14:paraId="0B65EB26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FFAB5BE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06B3D">
        <w:rPr>
          <w:rFonts w:ascii="Arial" w:eastAsia="Arial" w:hAnsi="Arial" w:cs="Arial"/>
          <w:color w:val="000000"/>
          <w:sz w:val="20"/>
          <w:szCs w:val="20"/>
        </w:rPr>
        <w:t>6) Será admitida uma única proposta que contenha mais de um interessado, que em consórcio desejem adquirir em conjunto o bem alienado, devendo, contudo, no momento da apresentação da mesma, indicar a fração ideal de cada proponente. A hipótese descrita obriga todos os arrematantes da mesma proposta à solidariedade passiva na forma do art. 264 do Código Civil.</w:t>
      </w:r>
    </w:p>
    <w:p w14:paraId="301B28EB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CFD929E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06B3D">
        <w:rPr>
          <w:rFonts w:ascii="Arial" w:eastAsia="Arial" w:hAnsi="Arial" w:cs="Arial"/>
          <w:color w:val="000000"/>
          <w:sz w:val="20"/>
          <w:szCs w:val="20"/>
        </w:rPr>
        <w:t>7) Eventual interposição de ações judiciais por terceiros, reclamando posse ou propriedade do bem alienado no leilão, não desobriga o licitante ao pagamento do preço assumido, caso já expedida a Carta de Arrematação, salvo por ordem judicial expressa exclusivamente do Juízo Falimentar. Caso não tenha sido expedida a Carta de Arrematação, poderá o Juízo Falimentar sobrestar a expedição desta, determinando igualmente a desobrigação momentânea do pagamento, até que seja resolvida a pendência.</w:t>
      </w:r>
    </w:p>
    <w:p w14:paraId="46EE89AB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8244FE5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06B3D">
        <w:rPr>
          <w:rFonts w:ascii="Arial" w:eastAsia="Arial" w:hAnsi="Arial" w:cs="Arial"/>
          <w:color w:val="000000"/>
          <w:sz w:val="20"/>
          <w:szCs w:val="20"/>
        </w:rPr>
        <w:t>08) Será de inteira responsabilidade do arrematante o levantamento de eventual restrição imposta por zoneamento/uso do solo, legislação ambiental, IBAMA, FATMA, INCRA, assim como de direitos e deveres constantes das especificações, cabendo ao arrematante obter as informações atinentes, bem como adotar as medidas necessárias à expedição de alvarás, atestados e demais documentos nos competentes órgãos públicos/autarquias, se necessário for, bem como a assunção no estado que se encontra quanto a eventuais passivos ambientais que pesem sobre o bem a ser alienado.</w:t>
      </w:r>
    </w:p>
    <w:p w14:paraId="3419D7D0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E791550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06B3D">
        <w:rPr>
          <w:rFonts w:ascii="Arial" w:eastAsia="Arial" w:hAnsi="Arial" w:cs="Arial"/>
          <w:color w:val="000000"/>
          <w:sz w:val="20"/>
          <w:szCs w:val="20"/>
        </w:rPr>
        <w:t>09) Serão de inteira responsabilidade do arrematante todas as providências e despesas necessárias, bem como todos os procedimentos e custos incidentes para a transferência em seu benefício do(s) bem(</w:t>
      </w:r>
      <w:proofErr w:type="spellStart"/>
      <w:r w:rsidRPr="00906B3D">
        <w:rPr>
          <w:rFonts w:ascii="Arial" w:eastAsia="Arial" w:hAnsi="Arial" w:cs="Arial"/>
          <w:color w:val="000000"/>
          <w:sz w:val="20"/>
          <w:szCs w:val="20"/>
        </w:rPr>
        <w:t>ns</w:t>
      </w:r>
      <w:proofErr w:type="spellEnd"/>
      <w:r w:rsidRPr="00906B3D">
        <w:rPr>
          <w:rFonts w:ascii="Arial" w:eastAsia="Arial" w:hAnsi="Arial" w:cs="Arial"/>
          <w:color w:val="000000"/>
          <w:sz w:val="20"/>
          <w:szCs w:val="20"/>
        </w:rPr>
        <w:t>) arrematado(s), cabendo à Massa Falida apenas o fornecimento das informações e documentos que lhe couberem exclusivamente.</w:t>
      </w:r>
    </w:p>
    <w:p w14:paraId="6633743A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EFED0ED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10) As intimações necessárias poderão ser promovidas pela Secretaria por meio do Diário Oficial Eletrônico. </w:t>
      </w:r>
    </w:p>
    <w:p w14:paraId="70A1F79A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0A4B12E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11) Compete à leiloeira tomar as medidas e estabelecer os critérios para o bom funcionamento do leilão. </w:t>
      </w:r>
    </w:p>
    <w:p w14:paraId="192DEA49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181AB51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6961021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>Processo nº 0316258-88.2019.8.24.0038</w:t>
      </w:r>
    </w:p>
    <w:p w14:paraId="35F58354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>Falido:</w:t>
      </w:r>
      <w:r w:rsidRPr="00906B3D">
        <w:rPr>
          <w:rFonts w:ascii="Arial" w:eastAsia="Arial" w:hAnsi="Arial" w:cs="Arial"/>
          <w:smallCaps/>
          <w:color w:val="052229"/>
          <w:sz w:val="20"/>
          <w:szCs w:val="20"/>
        </w:rPr>
        <w:t xml:space="preserve"> </w:t>
      </w:r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Massa Falida de </w:t>
      </w:r>
      <w:proofErr w:type="spellStart"/>
      <w:r w:rsidRPr="00906B3D">
        <w:rPr>
          <w:rFonts w:ascii="Arial" w:eastAsia="Arial" w:hAnsi="Arial" w:cs="Arial"/>
          <w:color w:val="000000"/>
          <w:sz w:val="20"/>
          <w:szCs w:val="20"/>
        </w:rPr>
        <w:t>Cipla</w:t>
      </w:r>
      <w:proofErr w:type="spellEnd"/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 Indústria de Materiais de Construção S/A e outros</w:t>
      </w:r>
    </w:p>
    <w:p w14:paraId="26BBEFFB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>Adm. Judicial:</w:t>
      </w:r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 Cleber </w:t>
      </w:r>
      <w:proofErr w:type="spellStart"/>
      <w:r w:rsidRPr="00906B3D">
        <w:rPr>
          <w:rFonts w:ascii="Arial" w:eastAsia="Arial" w:hAnsi="Arial" w:cs="Arial"/>
          <w:color w:val="000000"/>
          <w:sz w:val="20"/>
          <w:szCs w:val="20"/>
        </w:rPr>
        <w:t>Gleideson</w:t>
      </w:r>
      <w:proofErr w:type="spellEnd"/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 da Costa e Daniel de Oliveira</w:t>
      </w:r>
      <w:r w:rsidRPr="00906B3D">
        <w:rPr>
          <w:rFonts w:ascii="Arial" w:eastAsia="Arial" w:hAnsi="Arial" w:cs="Arial"/>
          <w:color w:val="000000"/>
          <w:sz w:val="20"/>
          <w:szCs w:val="20"/>
        </w:rPr>
        <w:tab/>
      </w:r>
    </w:p>
    <w:p w14:paraId="12F22815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         </w:t>
      </w:r>
    </w:p>
    <w:p w14:paraId="6EF8746F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>01)</w:t>
      </w:r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 Área B, destacada da matrícula n° 11.379, situada no loteamento Parque Industrial Bandeirantes, antigo Sítio Santa </w:t>
      </w:r>
      <w:proofErr w:type="spellStart"/>
      <w:r w:rsidRPr="00906B3D">
        <w:rPr>
          <w:rFonts w:ascii="Arial" w:eastAsia="Arial" w:hAnsi="Arial" w:cs="Arial"/>
          <w:color w:val="000000"/>
          <w:sz w:val="20"/>
          <w:szCs w:val="20"/>
        </w:rPr>
        <w:t>Zula</w:t>
      </w:r>
      <w:proofErr w:type="spellEnd"/>
      <w:r w:rsidRPr="00906B3D">
        <w:rPr>
          <w:rFonts w:ascii="Arial" w:eastAsia="Arial" w:hAnsi="Arial" w:cs="Arial"/>
          <w:color w:val="000000"/>
          <w:sz w:val="20"/>
          <w:szCs w:val="20"/>
        </w:rPr>
        <w:t>, distrito de Nova Veneza, Município e Comarca de Sumaré/SP, com área total de 41.418,07m², com as medidas, confrontações e demais características descritas na matrícula nº 191.274 do C.R.I. de Sumaré/SP. Obs.: Endereço atualizado: Rua Marcos Dutra Pereira, no 300, no loteamento denominado Parque Industrial Bandeirantes, Distrito de Nova Veneza, Município de Sumaré/SP. O imóvel possui as seguintes edificações: Galpão 1 – área construída de aproximadamente 3.500m², Piso de “</w:t>
      </w:r>
      <w:proofErr w:type="spellStart"/>
      <w:r w:rsidRPr="00906B3D">
        <w:rPr>
          <w:rFonts w:ascii="Arial" w:eastAsia="Arial" w:hAnsi="Arial" w:cs="Arial"/>
          <w:color w:val="000000"/>
          <w:sz w:val="20"/>
          <w:szCs w:val="20"/>
        </w:rPr>
        <w:t>bloquetes</w:t>
      </w:r>
      <w:proofErr w:type="spellEnd"/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 de concreto intertravados”, fechamento em telhas metálicas e estrutura da cobertura de ferro, com telhas de fibrocimento; Galpão 2 – área construída de aproximadamente 4.838m², Piso Cimentado, fechamento parte alvenaria, parte telhas de fibrocimento, estrutura metálica na cobertura. Galpão 3 – área construída de aproximadamente 3.305m², possuía além do galpão um prédio administrativo. Galpão 4 – área construída de aproximadamente 798m², no prédio funcionava o refeitório da empresa, estrutura de alvenaria e piso de </w:t>
      </w:r>
      <w:proofErr w:type="spellStart"/>
      <w:r w:rsidRPr="00906B3D">
        <w:rPr>
          <w:rFonts w:ascii="Arial" w:eastAsia="Arial" w:hAnsi="Arial" w:cs="Arial"/>
          <w:color w:val="000000"/>
          <w:sz w:val="20"/>
          <w:szCs w:val="20"/>
        </w:rPr>
        <w:t>granilite</w:t>
      </w:r>
      <w:proofErr w:type="spellEnd"/>
      <w:r w:rsidRPr="00906B3D">
        <w:rPr>
          <w:rFonts w:ascii="Arial" w:eastAsia="Arial" w:hAnsi="Arial" w:cs="Arial"/>
          <w:color w:val="000000"/>
          <w:sz w:val="20"/>
          <w:szCs w:val="20"/>
        </w:rPr>
        <w:t>. Registre-se que, conforme consta na descrição do terreno na matrícula do imóvel, a área total é superior ao referido objeto da presente alienação. Todavia, parte substancial encontra-se vinculada ao processo de Regularização Fundiária Urbana (REURB). Ocupação consolidada há mais de 15 (quinze) anos, segundo o Município de Sumaré/SP. Cadastrado em área maior sob o nº 2.202.0469.042.8. Ônus: Indisponibilidade de bens nos autos nº 0168900-23.1992.5.15.0053 que tramita na 4ª Vara do Trabalho de Campinas/SP,  nos autos n° 0063900.15.2000.5.04.0003 que tramita na 3ª  Vara do Trabalho de Porto Alegre/RS; penhorado nos autos nº 0015499-66.1997.8.26.0604 que tramita no Serviço Anexo das Fazendas da Comarca de Sumaré/SP, nos autos nº 0511849-31.2009.8.26.0604 conforme Av-13, nos autos nº 604.01.2010.501985-4 conforme Av-12, nos autos nº 604.01.2006.005192-6 conforme Av-11, nos autos nº 8.288/07 conforme Av-10, nos autos nº 10.076/03 conforme Av-09, nos autos nº 7.773/06 conforme Av-8, nos autos nº 16.965/07 conforme Av-7, nos autos nº 03324-2002-030-12-00-6 que tramita na 4ª Vara do Trabalho de Joinville/SC, nos autos nº 927/00 conforme Av-5, nos autos nº 000.87.819.625-9 que tramita na 4ª Vara Cível de São Paulo/SP. Avaliado em R$ 33.134.456,00, em 27/01/2026, corrigido</w:t>
      </w:r>
      <w:r w:rsidRPr="00906B3D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R$ 33.771.098,12 (trinta e três milhões, setecentos e setenta e um mil, noventa e oito reais e doze centavos)</w:t>
      </w:r>
      <w:r w:rsidRPr="00906B3D">
        <w:rPr>
          <w:rFonts w:ascii="Arial" w:eastAsia="Arial" w:hAnsi="Arial" w:cs="Arial"/>
          <w:color w:val="000000"/>
          <w:sz w:val="20"/>
          <w:szCs w:val="20"/>
        </w:rPr>
        <w:t>, em março de 2026.</w:t>
      </w:r>
    </w:p>
    <w:p w14:paraId="4C97B91D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3A571DC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D0E0D71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8">
        <w:r w:rsidRPr="00906B3D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. Maiores informações com a Leiloeira Oficial pelos fones (48) 3437-6115 ou (48) 99168-2023 e/ou pelo endereço: Avenida Luiz </w:t>
      </w:r>
      <w:proofErr w:type="spellStart"/>
      <w:r w:rsidRPr="00906B3D">
        <w:rPr>
          <w:rFonts w:ascii="Arial" w:eastAsia="Arial" w:hAnsi="Arial" w:cs="Arial"/>
          <w:color w:val="000000"/>
          <w:sz w:val="20"/>
          <w:szCs w:val="20"/>
        </w:rPr>
        <w:t>Lazzarin</w:t>
      </w:r>
      <w:proofErr w:type="spellEnd"/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, 2.300, Criciúma/SC – site: </w:t>
      </w:r>
      <w:r w:rsidRPr="00906B3D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www.centralsuldeleiloes.com.br</w:t>
      </w:r>
      <w:r w:rsidRPr="00906B3D">
        <w:rPr>
          <w:rFonts w:ascii="Arial" w:eastAsia="Arial" w:hAnsi="Arial" w:cs="Arial"/>
          <w:color w:val="000000"/>
          <w:sz w:val="20"/>
          <w:szCs w:val="20"/>
        </w:rPr>
        <w:t>. Jaraguá do Sul, 0</w:t>
      </w:r>
      <w:r w:rsidRPr="00906B3D">
        <w:rPr>
          <w:rFonts w:ascii="Arial" w:eastAsia="Arial" w:hAnsi="Arial" w:cs="Arial"/>
          <w:sz w:val="20"/>
          <w:szCs w:val="20"/>
        </w:rPr>
        <w:t>5</w:t>
      </w:r>
      <w:r w:rsidRPr="00906B3D">
        <w:rPr>
          <w:rFonts w:ascii="Arial" w:eastAsia="Arial" w:hAnsi="Arial" w:cs="Arial"/>
          <w:color w:val="000000"/>
          <w:sz w:val="20"/>
          <w:szCs w:val="20"/>
        </w:rPr>
        <w:t xml:space="preserve"> de maio de 2026.</w:t>
      </w:r>
    </w:p>
    <w:p w14:paraId="0F268018" w14:textId="77777777" w:rsidR="00BC7ED8" w:rsidRPr="00906B3D" w:rsidRDefault="00BC7ED8" w:rsidP="00BC7ED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30CDC9A" w14:textId="77777777" w:rsidR="00BC7ED8" w:rsidRPr="00906B3D" w:rsidRDefault="00BC7ED8" w:rsidP="00BC7ED8">
      <w:pPr>
        <w:spacing w:before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</w:p>
    <w:p w14:paraId="2F77EF84" w14:textId="77777777" w:rsidR="00BC7ED8" w:rsidRDefault="00BC7ED8" w:rsidP="00BC7ED8">
      <w:pPr>
        <w:spacing w:before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 w:rsidRPr="00906B3D"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Elizabete </w:t>
      </w:r>
      <w:proofErr w:type="spellStart"/>
      <w:r w:rsidRPr="00906B3D">
        <w:rPr>
          <w:rFonts w:ascii="Bookman Old Style" w:eastAsia="Bookman Old Style" w:hAnsi="Bookman Old Style" w:cs="Bookman Old Style"/>
          <w:b/>
          <w:bCs/>
          <w:sz w:val="24"/>
          <w:szCs w:val="24"/>
        </w:rPr>
        <w:t>Ubialli</w:t>
      </w:r>
      <w:proofErr w:type="spellEnd"/>
    </w:p>
    <w:p w14:paraId="272C6030" w14:textId="77777777" w:rsidR="00BC7ED8" w:rsidRDefault="00BC7ED8" w:rsidP="00BC7ED8">
      <w:pPr>
        <w:spacing w:before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Leiloeira Pública Oficial/SC</w:t>
      </w:r>
    </w:p>
    <w:p w14:paraId="34C899E3" w14:textId="222285EE" w:rsidR="00EB5C29" w:rsidRDefault="00BC7ED8" w:rsidP="00BC7ED8">
      <w:pPr>
        <w:spacing w:before="0"/>
        <w:jc w:val="center"/>
      </w:pPr>
      <w:r>
        <w:rPr>
          <w:rFonts w:ascii="Bookman Old Style" w:eastAsia="Bookman Old Style" w:hAnsi="Bookman Old Style" w:cs="Bookman Old Style"/>
          <w:sz w:val="20"/>
          <w:szCs w:val="20"/>
        </w:rPr>
        <w:t>AARC/305</w:t>
      </w:r>
    </w:p>
    <w:sectPr w:rsidR="00EB5C29">
      <w:headerReference w:type="default" r:id="rId9"/>
      <w:pgSz w:w="11906" w:h="16838"/>
      <w:pgMar w:top="1702" w:right="1701" w:bottom="851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75F55" w14:textId="77777777" w:rsidR="00753D27" w:rsidRDefault="00BC7ED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66BBBAB2" wp14:editId="4AF61D73">
          <wp:simplePos x="0" y="0"/>
          <wp:positionH relativeFrom="column">
            <wp:posOffset>-1080131</wp:posOffset>
          </wp:positionH>
          <wp:positionV relativeFrom="paragraph">
            <wp:posOffset>-457527</wp:posOffset>
          </wp:positionV>
          <wp:extent cx="7559939" cy="10694504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939" cy="106945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ED8"/>
    <w:rsid w:val="00BC7ED8"/>
    <w:rsid w:val="00EB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A5BA2"/>
  <w15:chartTrackingRefBased/>
  <w15:docId w15:val="{8ED42FCF-B41E-4989-87AE-76AC97085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ED8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BC7ED8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BC7ED8"/>
    <w:rPr>
      <w:rFonts w:ascii="Times New Roman" w:eastAsia="Times New Roman" w:hAnsi="Times New Roman" w:cs="Times New Roman"/>
      <w:b/>
      <w:bCs/>
      <w:sz w:val="36"/>
      <w:szCs w:val="36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bialli@centralsuldeleiloes.com.b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entralsuldeleiloes.com.br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1783</Words>
  <Characters>9632</Characters>
  <Application>Microsoft Office Word</Application>
  <DocSecurity>0</DocSecurity>
  <Lines>80</Lines>
  <Paragraphs>22</Paragraphs>
  <ScaleCrop>false</ScaleCrop>
  <Company/>
  <LinksUpToDate>false</LinksUpToDate>
  <CharactersWithSpaces>11393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2026-05-05T13:55:00Z</dcterms:created>
  <dcterms:modified xsi:type="dcterms:W3CDTF">2026-05-05T13:55:00Z</dcterms:modified>
</cp:coreProperties>
</file>